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360" w:lineRule="auto"/>
        <w:jc w:val="center"/>
        <w:rPr>
          <w:rFonts w:ascii="Arial" w:cs="Arial" w:eastAsia="Arial" w:hAnsi="Arial"/>
          <w:sz w:val="42"/>
          <w:szCs w:val="42"/>
        </w:rPr>
      </w:pPr>
      <w:bookmarkStart w:colFirst="0" w:colLast="0" w:name="_2zuctolldjvd" w:id="0"/>
      <w:bookmarkEnd w:id="0"/>
      <w:r w:rsidDel="00000000" w:rsidR="00000000" w:rsidRPr="00000000">
        <w:rPr>
          <w:rFonts w:ascii="Arial" w:cs="Arial" w:eastAsia="Arial" w:hAnsi="Arial"/>
          <w:sz w:val="42"/>
          <w:szCs w:val="42"/>
          <w:rtl w:val="0"/>
        </w:rPr>
        <w:t xml:space="preserve">ANEXO II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ESTIMATIVA DO VALOR DA CONTRATAÇÃO E ADEQUAÇÃO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pStyle w:val="Heading1"/>
              <w:widowControl w:val="0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9xf1epxgw87i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DA ESTIMATIVA DO VALOR DA CONTRATAÇÃO</w:t>
            </w:r>
          </w:p>
        </w:tc>
      </w:tr>
    </w:tbl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Arial" w:cs="Arial" w:eastAsia="Arial" w:hAnsi="Arial"/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custo estimado total da contratação é de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R$ 133.560,43 (cento e trinta e três mil, quinhentos e sessenta reais e quarenta e três centavos)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conforme os custos mencionados no Relatório de Cotação e no no Mapa Comparativo de Preços , que compõem o Anexo III deste Termo de Referência.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Os valores acima mencionados foram apurados com base no critério de preço médio obtido a partir de procedimentos licitatórios similares e de pesquisas realizadas em Portais de Compras, complementadas, quando pertinente, por cotações coletadas junto a potenciais fornecedores, com o propósito de formar uma amostragem mais ampla e representativa do mercado.</w:t>
      </w:r>
    </w:p>
    <w:p w:rsidR="00000000" w:rsidDel="00000000" w:rsidP="00000000" w:rsidRDefault="00000000" w:rsidRPr="00000000" w14:paraId="0000000C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cotação apresenta variações significativas entre os valores estimados, em razão das diferenças de preços praticados pelas distintas marcas e modelos utilizados como referência, bem como da natural flutuação de mercado observada no segmento de SUVs compactos.</w:t>
      </w:r>
    </w:p>
    <w:tbl>
      <w:tblPr>
        <w:tblStyle w:val="Table2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Style w:val="Heading1"/>
              <w:widowControl w:val="0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iooxn78nfw5w" w:id="2"/>
            <w:bookmarkEnd w:id="2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DA ADEQUAÇÃO ORÇAMENTÁRIA</w:t>
            </w:r>
          </w:p>
        </w:tc>
      </w:tr>
    </w:tbl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Arial" w:cs="Arial" w:eastAsia="Arial" w:hAnsi="Arial"/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10.1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Os recursos financeiros destinados ao processamento e ao pagamento do objeto serão suportados pela dotação orçamentária vigente, devidamente classificada e codificada, sob a seguinte dotação orçamentária: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Órgão: CÂMARA MUNICIPAL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Unidade: CÂMARA MUNICIPAL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Funcional: Ação Legislativa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Programa: 01.031.1038 - AQUISIÇÃO  DE EQUIPAMENTOS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Elemento: 4.4.90.52.00.00.00.00 - EQUIPAMENTOS E MATERIAL PERMANENTE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Código Reduzido: 769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bCs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Licitação e Contratos Administrativos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